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0AF4" w14:textId="77777777" w:rsidR="00F9223E" w:rsidRDefault="00F9223E" w:rsidP="00F9223E">
      <w:pPr>
        <w:spacing w:line="360" w:lineRule="auto"/>
        <w:rPr>
          <w:b/>
          <w:bCs/>
          <w:color w:val="004D5D" w:themeColor="accent5" w:themeShade="80"/>
          <w:sz w:val="40"/>
          <w:szCs w:val="40"/>
        </w:rPr>
      </w:pPr>
    </w:p>
    <w:p w14:paraId="7789C574" w14:textId="2EB16ED6" w:rsidR="00F9223E" w:rsidRPr="007B34F4" w:rsidRDefault="00F9223E" w:rsidP="00F9223E">
      <w:pPr>
        <w:spacing w:line="360" w:lineRule="auto"/>
        <w:rPr>
          <w:b/>
          <w:bCs/>
          <w:color w:val="004D5D" w:themeColor="accent5" w:themeShade="80"/>
          <w:sz w:val="40"/>
          <w:szCs w:val="40"/>
        </w:rPr>
      </w:pPr>
      <w:r w:rsidRPr="007B34F4">
        <w:rPr>
          <w:b/>
          <w:bCs/>
          <w:color w:val="004D5D" w:themeColor="accent5" w:themeShade="80"/>
          <w:sz w:val="40"/>
          <w:szCs w:val="40"/>
        </w:rPr>
        <w:t xml:space="preserve">Bilag </w:t>
      </w:r>
      <w:r>
        <w:rPr>
          <w:b/>
          <w:bCs/>
          <w:color w:val="004D5D" w:themeColor="accent5" w:themeShade="80"/>
          <w:sz w:val="40"/>
          <w:szCs w:val="40"/>
        </w:rPr>
        <w:t>5</w:t>
      </w:r>
    </w:p>
    <w:p w14:paraId="7B68E734" w14:textId="3E95C242" w:rsidR="00F9223E" w:rsidRDefault="00F9223E" w:rsidP="00F9223E">
      <w:pPr>
        <w:spacing w:line="360" w:lineRule="auto"/>
        <w:rPr>
          <w:b/>
          <w:bCs/>
          <w:color w:val="004D5D" w:themeColor="accent5" w:themeShade="80"/>
          <w:sz w:val="40"/>
          <w:szCs w:val="40"/>
        </w:rPr>
      </w:pPr>
      <w:r>
        <w:rPr>
          <w:b/>
          <w:bCs/>
          <w:color w:val="004D5D" w:themeColor="accent5" w:themeShade="80"/>
          <w:sz w:val="40"/>
          <w:szCs w:val="40"/>
        </w:rPr>
        <w:t xml:space="preserve">Miljø, grøn omstilling og livscyklus </w:t>
      </w:r>
    </w:p>
    <w:p w14:paraId="027A9DAC" w14:textId="77777777" w:rsidR="00F9223E" w:rsidRDefault="00F9223E" w:rsidP="00F9223E">
      <w:pPr>
        <w:spacing w:after="160" w:line="259" w:lineRule="auto"/>
      </w:pPr>
      <w:r>
        <w:br w:type="page"/>
      </w:r>
    </w:p>
    <w:p w14:paraId="34FF72A0" w14:textId="77777777" w:rsidR="00F9223E" w:rsidRDefault="00F9223E" w:rsidP="00F9223E"/>
    <w:p w14:paraId="46DD453C" w14:textId="77777777" w:rsidR="00F9223E" w:rsidRPr="00010795" w:rsidRDefault="00F9223E" w:rsidP="00F9223E">
      <w:pPr>
        <w:rPr>
          <w:i/>
          <w:iCs/>
          <w:szCs w:val="20"/>
          <w:highlight w:val="yellow"/>
        </w:rPr>
      </w:pPr>
      <w:r w:rsidRPr="00010795">
        <w:rPr>
          <w:i/>
          <w:iCs/>
          <w:szCs w:val="20"/>
          <w:highlight w:val="yellow"/>
        </w:rPr>
        <w:t xml:space="preserve">[Tilbudsgiver indsætter her sin beskrivelse / sit tilbud på opfyldelse af evalueringskriteriet ”Tilsyn, rapportering, ændringshåndtering og kvalitetskontrol”. </w:t>
      </w:r>
    </w:p>
    <w:p w14:paraId="31B5E8DD" w14:textId="21BA2EFE" w:rsidR="00F9223E" w:rsidRPr="00010795" w:rsidRDefault="00F9223E" w:rsidP="00F9223E">
      <w:pPr>
        <w:rPr>
          <w:i/>
          <w:iCs/>
          <w:szCs w:val="20"/>
          <w:highlight w:val="yellow"/>
        </w:rPr>
      </w:pPr>
      <w:r w:rsidRPr="00010795">
        <w:rPr>
          <w:i/>
          <w:iCs/>
          <w:szCs w:val="20"/>
          <w:highlight w:val="yellow"/>
        </w:rPr>
        <w:t>Lolland Kommune vil evaluere i henhold til beskrivelses der fremgår af udbudsbetingelsernes pkt. 7.4. ”</w:t>
      </w:r>
      <w:r>
        <w:rPr>
          <w:i/>
          <w:iCs/>
          <w:szCs w:val="20"/>
          <w:highlight w:val="yellow"/>
        </w:rPr>
        <w:t>Miljø, grøn omstilling og livscyklus</w:t>
      </w:r>
      <w:r w:rsidRPr="00010795">
        <w:rPr>
          <w:i/>
          <w:iCs/>
          <w:szCs w:val="20"/>
          <w:highlight w:val="yellow"/>
        </w:rPr>
        <w:t>”.</w:t>
      </w:r>
      <w:r w:rsidR="005B4DA8" w:rsidRPr="005B4DA8">
        <w:rPr>
          <w:i/>
          <w:iCs/>
          <w:szCs w:val="20"/>
          <w:highlight w:val="yellow"/>
        </w:rPr>
        <w:t xml:space="preserve"> </w:t>
      </w:r>
      <w:r w:rsidR="005B4DA8">
        <w:rPr>
          <w:i/>
          <w:iCs/>
          <w:szCs w:val="20"/>
          <w:highlight w:val="yellow"/>
        </w:rPr>
        <w:t xml:space="preserve">Lolland Kommune har udarbejdet nedenstående skabelon, som Rådgiver </w:t>
      </w:r>
      <w:r w:rsidR="00DA496B">
        <w:rPr>
          <w:i/>
          <w:iCs/>
          <w:szCs w:val="20"/>
          <w:highlight w:val="yellow"/>
        </w:rPr>
        <w:t>kan vælge at benytte</w:t>
      </w:r>
      <w:r w:rsidR="005B4DA8">
        <w:rPr>
          <w:i/>
          <w:iCs/>
          <w:szCs w:val="20"/>
          <w:highlight w:val="yellow"/>
        </w:rPr>
        <w:t>.</w:t>
      </w:r>
    </w:p>
    <w:p w14:paraId="2AB32680" w14:textId="77777777" w:rsidR="00F9223E" w:rsidRPr="00010795" w:rsidRDefault="00F9223E" w:rsidP="00F9223E">
      <w:pPr>
        <w:rPr>
          <w:i/>
          <w:iCs/>
          <w:szCs w:val="20"/>
        </w:rPr>
      </w:pPr>
      <w:r w:rsidRPr="00010795">
        <w:rPr>
          <w:i/>
          <w:iCs/>
          <w:szCs w:val="20"/>
          <w:highlight w:val="yellow"/>
        </w:rPr>
        <w:t>Denne (gule) tekst slettes og erstattes af tilbudsgivers beskrivelse.]</w:t>
      </w:r>
      <w:r w:rsidRPr="00010795">
        <w:rPr>
          <w:i/>
          <w:iCs/>
          <w:szCs w:val="20"/>
        </w:rPr>
        <w:t xml:space="preserve">   </w:t>
      </w:r>
    </w:p>
    <w:p w14:paraId="355A533F" w14:textId="77777777" w:rsidR="005C2B2B" w:rsidRDefault="005C2B2B" w:rsidP="0028438A"/>
    <w:p w14:paraId="38AEB1D9" w14:textId="77777777" w:rsidR="00BE1F6E" w:rsidRPr="00BE1F6E" w:rsidRDefault="00BE1F6E" w:rsidP="00BE1F6E">
      <w:r w:rsidRPr="00BE1F6E">
        <w:rPr>
          <w:i/>
          <w:iCs/>
        </w:rPr>
        <w:t>(Udfyldes af tilbudsgiver)</w:t>
      </w:r>
    </w:p>
    <w:p w14:paraId="20E9B4F7" w14:textId="77777777" w:rsidR="00BE1F6E" w:rsidRPr="00BE1F6E" w:rsidRDefault="00BE1F6E" w:rsidP="00BE1F6E">
      <w:r w:rsidRPr="00BE1F6E">
        <w:t>Tilbudsgiver skal i dette bilag redegøre for, hvordan miljø, grøn omstilling og livscyklusovervejelser indtænkes og indarbejdes i rådgivningen til Lolland Kommune i forbindelse med projektets gennemførelse.</w:t>
      </w:r>
    </w:p>
    <w:p w14:paraId="40D0271F" w14:textId="77777777" w:rsidR="00BE1F6E" w:rsidRPr="00BE1F6E" w:rsidRDefault="00BE1F6E" w:rsidP="00BE1F6E">
      <w:r w:rsidRPr="00BE1F6E">
        <w:t>Beskrivelsen skal give Lolland Kommune grundlag for at vurdere, om og i hvilket omfang tilbudsgiver arbejder systematisk med miljø og grøn omstilling i sine arbejdsprocesser på tværs af projektets dele og faser.</w:t>
      </w:r>
    </w:p>
    <w:p w14:paraId="0C799D5E" w14:textId="77777777" w:rsidR="00BE1F6E" w:rsidRPr="00BE1F6E" w:rsidRDefault="002E1952" w:rsidP="00BE1F6E">
      <w:r>
        <w:pict w14:anchorId="2DBB7AC6">
          <v:rect id="_x0000_i1025" style="width:0;height:1.5pt" o:hralign="center" o:hrstd="t" o:hr="t" fillcolor="#a0a0a0" stroked="f"/>
        </w:pict>
      </w:r>
    </w:p>
    <w:p w14:paraId="3096CF1B" w14:textId="77777777" w:rsidR="00BE1F6E" w:rsidRPr="00BE1F6E" w:rsidRDefault="00BE1F6E" w:rsidP="00BE1F6E">
      <w:pPr>
        <w:rPr>
          <w:b/>
          <w:bCs/>
        </w:rPr>
      </w:pPr>
      <w:r w:rsidRPr="00BE1F6E">
        <w:rPr>
          <w:b/>
          <w:bCs/>
        </w:rPr>
        <w:t>1. Overordnet tilgang til miljø og grøn omstilling</w:t>
      </w:r>
    </w:p>
    <w:p w14:paraId="2493FBE1" w14:textId="77777777" w:rsidR="00BE1F6E" w:rsidRPr="00BE1F6E" w:rsidRDefault="00BE1F6E" w:rsidP="00BE1F6E">
      <w:r w:rsidRPr="00BE1F6E">
        <w:t>Tilbudsgiver bedes beskrive den overordnede tilgang til miljø og grøn omstilling i projektet, herunder:</w:t>
      </w:r>
    </w:p>
    <w:p w14:paraId="5C329BA3" w14:textId="77777777" w:rsidR="00BE1F6E" w:rsidRPr="00BE1F6E" w:rsidRDefault="00BE1F6E" w:rsidP="00BE1F6E">
      <w:pPr>
        <w:numPr>
          <w:ilvl w:val="0"/>
          <w:numId w:val="3"/>
        </w:numPr>
      </w:pPr>
      <w:r w:rsidRPr="00BE1F6E">
        <w:t>Hvordan miljø- og klimahensyn generelt indtænkes i rådgivningen</w:t>
      </w:r>
    </w:p>
    <w:p w14:paraId="1C899F33" w14:textId="77777777" w:rsidR="00BE1F6E" w:rsidRPr="00BE1F6E" w:rsidRDefault="00BE1F6E" w:rsidP="00BE1F6E">
      <w:pPr>
        <w:numPr>
          <w:ilvl w:val="0"/>
          <w:numId w:val="3"/>
        </w:numPr>
      </w:pPr>
      <w:r w:rsidRPr="00BE1F6E">
        <w:t>Hvordan hensynene integreres i projektets planlægning og gennemførelse</w:t>
      </w:r>
    </w:p>
    <w:p w14:paraId="66AD18FA" w14:textId="77777777" w:rsidR="00BE1F6E" w:rsidRPr="00BE1F6E" w:rsidRDefault="00BE1F6E" w:rsidP="00BE1F6E">
      <w:pPr>
        <w:numPr>
          <w:ilvl w:val="0"/>
          <w:numId w:val="3"/>
        </w:numPr>
      </w:pPr>
      <w:r w:rsidRPr="00BE1F6E">
        <w:t>Hvordan relevans og formålstjenlighed vurderes i de enkelte dele af projektet</w:t>
      </w:r>
    </w:p>
    <w:p w14:paraId="19A42A88" w14:textId="77777777" w:rsidR="00BE1F6E" w:rsidRPr="00BE1F6E" w:rsidRDefault="002E1952" w:rsidP="00BE1F6E">
      <w:r>
        <w:pict w14:anchorId="0C61BDC6">
          <v:rect id="_x0000_i1026" style="width:0;height:1.5pt" o:hralign="center" o:hrstd="t" o:hr="t" fillcolor="#a0a0a0" stroked="f"/>
        </w:pict>
      </w:r>
    </w:p>
    <w:p w14:paraId="4A00529C" w14:textId="77777777" w:rsidR="00BE1F6E" w:rsidRPr="00BE1F6E" w:rsidRDefault="00BE1F6E" w:rsidP="00BE1F6E">
      <w:pPr>
        <w:rPr>
          <w:b/>
          <w:bCs/>
        </w:rPr>
      </w:pPr>
      <w:r w:rsidRPr="00BE1F6E">
        <w:rPr>
          <w:b/>
          <w:bCs/>
        </w:rPr>
        <w:t>2. Miljø og grøn omstilling i projektets faser</w:t>
      </w:r>
    </w:p>
    <w:p w14:paraId="096E1526" w14:textId="77777777" w:rsidR="00BE1F6E" w:rsidRPr="00BE1F6E" w:rsidRDefault="00BE1F6E" w:rsidP="00BE1F6E">
      <w:r w:rsidRPr="00BE1F6E">
        <w:t xml:space="preserve">Tilbudsgiver bedes beskrive, hvordan miljø og grøn omstilling indtænkes i de relevante faser af projektet, herunder </w:t>
      </w:r>
      <w:proofErr w:type="gramStart"/>
      <w:r w:rsidRPr="00BE1F6E">
        <w:t>eksempelvis</w:t>
      </w:r>
      <w:proofErr w:type="gramEnd"/>
      <w:r w:rsidRPr="00BE1F6E">
        <w:t>:</w:t>
      </w:r>
    </w:p>
    <w:p w14:paraId="5F2E0A8D" w14:textId="77777777" w:rsidR="00BE1F6E" w:rsidRPr="00BE1F6E" w:rsidRDefault="00BE1F6E" w:rsidP="00BE1F6E">
      <w:pPr>
        <w:numPr>
          <w:ilvl w:val="0"/>
          <w:numId w:val="4"/>
        </w:numPr>
      </w:pPr>
      <w:r w:rsidRPr="00BE1F6E">
        <w:t>Design- og planlægningsfaser</w:t>
      </w:r>
    </w:p>
    <w:p w14:paraId="0457A276" w14:textId="77777777" w:rsidR="00BE1F6E" w:rsidRPr="00BE1F6E" w:rsidRDefault="00BE1F6E" w:rsidP="00BE1F6E">
      <w:pPr>
        <w:numPr>
          <w:ilvl w:val="0"/>
          <w:numId w:val="4"/>
        </w:numPr>
      </w:pPr>
      <w:r w:rsidRPr="00BE1F6E">
        <w:t>Bygge- og etableringsfaser</w:t>
      </w:r>
    </w:p>
    <w:p w14:paraId="3100372D" w14:textId="77777777" w:rsidR="00BE1F6E" w:rsidRPr="00BE1F6E" w:rsidRDefault="00BE1F6E" w:rsidP="00BE1F6E">
      <w:pPr>
        <w:numPr>
          <w:ilvl w:val="0"/>
          <w:numId w:val="4"/>
        </w:numPr>
      </w:pPr>
      <w:r w:rsidRPr="00BE1F6E">
        <w:t>Idriftsættelse og driftsovervejelser</w:t>
      </w:r>
    </w:p>
    <w:p w14:paraId="70517690" w14:textId="77777777" w:rsidR="00BE1F6E" w:rsidRPr="00BE1F6E" w:rsidRDefault="00BE1F6E" w:rsidP="00BE1F6E">
      <w:r w:rsidRPr="00BE1F6E">
        <w:t>Beskrivelsen skal vise, hvordan miljø- og klimahensyn løbende vurderes og inddrages, hvor det er relevant.</w:t>
      </w:r>
    </w:p>
    <w:p w14:paraId="003E5B84" w14:textId="77777777" w:rsidR="00BE1F6E" w:rsidRPr="00BE1F6E" w:rsidRDefault="002E1952" w:rsidP="00BE1F6E">
      <w:r>
        <w:pict w14:anchorId="1CB9FF1E">
          <v:rect id="_x0000_i1027" style="width:0;height:1.5pt" o:hralign="center" o:hrstd="t" o:hr="t" fillcolor="#a0a0a0" stroked="f"/>
        </w:pict>
      </w:r>
    </w:p>
    <w:p w14:paraId="73498B53" w14:textId="77777777" w:rsidR="00BE1F6E" w:rsidRPr="00BE1F6E" w:rsidRDefault="00BE1F6E" w:rsidP="00BE1F6E">
      <w:pPr>
        <w:rPr>
          <w:b/>
          <w:bCs/>
        </w:rPr>
      </w:pPr>
      <w:r w:rsidRPr="00BE1F6E">
        <w:rPr>
          <w:b/>
          <w:bCs/>
        </w:rPr>
        <w:lastRenderedPageBreak/>
        <w:t>3. Metode for løbende afdækning af miljøhensyn</w:t>
      </w:r>
    </w:p>
    <w:p w14:paraId="6772EE15" w14:textId="77777777" w:rsidR="00BE1F6E" w:rsidRPr="00BE1F6E" w:rsidRDefault="00BE1F6E" w:rsidP="00BE1F6E">
      <w:r w:rsidRPr="00BE1F6E">
        <w:t>Tilbudsgiver bedes redegøre for den metode, der anvendes til løbende at identificere og vurdere relevante miljø- og grønne tiltag, herunder:</w:t>
      </w:r>
    </w:p>
    <w:p w14:paraId="3F247851" w14:textId="77777777" w:rsidR="00BE1F6E" w:rsidRPr="00BE1F6E" w:rsidRDefault="00BE1F6E" w:rsidP="00BE1F6E">
      <w:pPr>
        <w:numPr>
          <w:ilvl w:val="0"/>
          <w:numId w:val="5"/>
        </w:numPr>
      </w:pPr>
      <w:r w:rsidRPr="00BE1F6E">
        <w:t>Hvordan muligheder afdækkes i takt med projektets udvikling</w:t>
      </w:r>
    </w:p>
    <w:p w14:paraId="75288959" w14:textId="77777777" w:rsidR="00BE1F6E" w:rsidRPr="00BE1F6E" w:rsidRDefault="00BE1F6E" w:rsidP="00BE1F6E">
      <w:pPr>
        <w:numPr>
          <w:ilvl w:val="0"/>
          <w:numId w:val="5"/>
        </w:numPr>
      </w:pPr>
      <w:r w:rsidRPr="00BE1F6E">
        <w:t>Hvordan miljøhensyn bringes i spil i beslutningsprocesser</w:t>
      </w:r>
    </w:p>
    <w:p w14:paraId="2F2A17F0" w14:textId="77777777" w:rsidR="00BE1F6E" w:rsidRPr="00BE1F6E" w:rsidRDefault="00BE1F6E" w:rsidP="00BE1F6E">
      <w:pPr>
        <w:numPr>
          <w:ilvl w:val="0"/>
          <w:numId w:val="5"/>
        </w:numPr>
      </w:pPr>
      <w:r w:rsidRPr="00BE1F6E">
        <w:t>Hvordan der arbejdes systematisk med vurdering frem for enkeltstående tiltag</w:t>
      </w:r>
    </w:p>
    <w:p w14:paraId="7CE52EB8" w14:textId="77777777" w:rsidR="00BE1F6E" w:rsidRPr="00BE1F6E" w:rsidRDefault="002E1952" w:rsidP="00BE1F6E">
      <w:r>
        <w:pict w14:anchorId="267CDF7E">
          <v:rect id="_x0000_i1028" style="width:0;height:1.5pt" o:hralign="center" o:hrstd="t" o:hr="t" fillcolor="#a0a0a0" stroked="f"/>
        </w:pict>
      </w:r>
    </w:p>
    <w:p w14:paraId="7F3E558E" w14:textId="77777777" w:rsidR="00BE1F6E" w:rsidRPr="00BE1F6E" w:rsidRDefault="00BE1F6E" w:rsidP="00BE1F6E">
      <w:pPr>
        <w:rPr>
          <w:b/>
          <w:bCs/>
        </w:rPr>
      </w:pPr>
      <w:r w:rsidRPr="00BE1F6E">
        <w:rPr>
          <w:b/>
          <w:bCs/>
        </w:rPr>
        <w:t>4. Livscyklusovervejelser</w:t>
      </w:r>
    </w:p>
    <w:p w14:paraId="15652D96" w14:textId="77777777" w:rsidR="00BE1F6E" w:rsidRPr="00BE1F6E" w:rsidRDefault="00BE1F6E" w:rsidP="00BE1F6E">
      <w:r w:rsidRPr="00BE1F6E">
        <w:t>Tilbudsgiver bedes beskrive, hvordan livscyklusovervejelser indgår i rådgivningen, herunder:</w:t>
      </w:r>
    </w:p>
    <w:p w14:paraId="659296DA" w14:textId="77777777" w:rsidR="00BE1F6E" w:rsidRPr="00BE1F6E" w:rsidRDefault="00BE1F6E" w:rsidP="00BE1F6E">
      <w:pPr>
        <w:numPr>
          <w:ilvl w:val="0"/>
          <w:numId w:val="6"/>
        </w:numPr>
      </w:pPr>
      <w:r w:rsidRPr="00BE1F6E">
        <w:t>Overvejelser om materialers levetid, vedligehold og udskiftning</w:t>
      </w:r>
    </w:p>
    <w:p w14:paraId="43B20E59" w14:textId="77777777" w:rsidR="00BE1F6E" w:rsidRPr="00BE1F6E" w:rsidRDefault="00BE1F6E" w:rsidP="00BE1F6E">
      <w:pPr>
        <w:numPr>
          <w:ilvl w:val="0"/>
          <w:numId w:val="6"/>
        </w:numPr>
      </w:pPr>
      <w:r w:rsidRPr="00BE1F6E">
        <w:t>Vurdering af genbrug, genanvendelse og bortskaffelse</w:t>
      </w:r>
    </w:p>
    <w:p w14:paraId="20DD4E6A" w14:textId="77777777" w:rsidR="00BE1F6E" w:rsidRPr="00BE1F6E" w:rsidRDefault="00BE1F6E" w:rsidP="00BE1F6E">
      <w:pPr>
        <w:numPr>
          <w:ilvl w:val="0"/>
          <w:numId w:val="6"/>
        </w:numPr>
      </w:pPr>
      <w:r w:rsidRPr="00BE1F6E">
        <w:t>Hvordan livscyklus vurderes løbende i relation til projektets dele</w:t>
      </w:r>
    </w:p>
    <w:p w14:paraId="6516096E" w14:textId="77777777" w:rsidR="00BE1F6E" w:rsidRPr="00BE1F6E" w:rsidRDefault="002E1952" w:rsidP="00BE1F6E">
      <w:r>
        <w:pict w14:anchorId="1F96A417">
          <v:rect id="_x0000_i1029" style="width:0;height:1.5pt" o:hralign="center" o:hrstd="t" o:hr="t" fillcolor="#a0a0a0" stroked="f"/>
        </w:pict>
      </w:r>
    </w:p>
    <w:p w14:paraId="1974A165" w14:textId="77777777" w:rsidR="00BE1F6E" w:rsidRPr="00BE1F6E" w:rsidRDefault="00BE1F6E" w:rsidP="00BE1F6E">
      <w:pPr>
        <w:rPr>
          <w:b/>
          <w:bCs/>
        </w:rPr>
      </w:pPr>
      <w:r w:rsidRPr="00BE1F6E">
        <w:rPr>
          <w:b/>
          <w:bCs/>
        </w:rPr>
        <w:t>5. Miljø og livscyklus på tværs af projektets dele</w:t>
      </w:r>
    </w:p>
    <w:p w14:paraId="2A6070C4" w14:textId="77777777" w:rsidR="00BE1F6E" w:rsidRPr="00BE1F6E" w:rsidRDefault="00BE1F6E" w:rsidP="00BE1F6E">
      <w:r w:rsidRPr="00BE1F6E">
        <w:t>Tilbudsgiver bedes redegøre for, hvordan miljø, grøn omstilling og livscyklus indtænkes på tværs af projektets hoveddele, herunder:</w:t>
      </w:r>
    </w:p>
    <w:p w14:paraId="50D2D735" w14:textId="77777777" w:rsidR="00BE1F6E" w:rsidRPr="00BE1F6E" w:rsidRDefault="00BE1F6E" w:rsidP="00BE1F6E">
      <w:pPr>
        <w:numPr>
          <w:ilvl w:val="0"/>
          <w:numId w:val="7"/>
        </w:numPr>
      </w:pPr>
      <w:r w:rsidRPr="00BE1F6E">
        <w:t>Færgen</w:t>
      </w:r>
    </w:p>
    <w:p w14:paraId="4396FB73" w14:textId="77777777" w:rsidR="00BE1F6E" w:rsidRPr="00BE1F6E" w:rsidRDefault="00BE1F6E" w:rsidP="00BE1F6E">
      <w:pPr>
        <w:numPr>
          <w:ilvl w:val="0"/>
          <w:numId w:val="7"/>
        </w:numPr>
      </w:pPr>
      <w:r w:rsidRPr="00BE1F6E">
        <w:t>Færgelejer og øvrige anlæg</w:t>
      </w:r>
    </w:p>
    <w:p w14:paraId="12393389" w14:textId="77777777" w:rsidR="00BE1F6E" w:rsidRPr="00BE1F6E" w:rsidRDefault="00BE1F6E" w:rsidP="00BE1F6E">
      <w:pPr>
        <w:numPr>
          <w:ilvl w:val="0"/>
          <w:numId w:val="7"/>
        </w:numPr>
      </w:pPr>
      <w:r w:rsidRPr="00BE1F6E">
        <w:t>Relevante installationer og tekniske systemer</w:t>
      </w:r>
    </w:p>
    <w:p w14:paraId="377AD08F" w14:textId="77777777" w:rsidR="00BE1F6E" w:rsidRPr="00BE1F6E" w:rsidRDefault="00BE1F6E" w:rsidP="00BE1F6E">
      <w:r w:rsidRPr="00BE1F6E">
        <w:t>Det skal fremgå, hvordan der arbejdes med helhedsbetragtninger frem for isolerede løsninger.</w:t>
      </w:r>
    </w:p>
    <w:p w14:paraId="7D9FC3DB" w14:textId="77777777" w:rsidR="00BE1F6E" w:rsidRPr="00BE1F6E" w:rsidRDefault="002E1952" w:rsidP="00BE1F6E">
      <w:r>
        <w:pict w14:anchorId="7121CC7C">
          <v:rect id="_x0000_i1030" style="width:0;height:1.5pt" o:hralign="center" o:hrstd="t" o:hr="t" fillcolor="#a0a0a0" stroked="f"/>
        </w:pict>
      </w:r>
    </w:p>
    <w:p w14:paraId="75299474" w14:textId="77777777" w:rsidR="00BE1F6E" w:rsidRPr="00BE1F6E" w:rsidRDefault="00BE1F6E" w:rsidP="00BE1F6E">
      <w:pPr>
        <w:rPr>
          <w:b/>
          <w:bCs/>
        </w:rPr>
      </w:pPr>
      <w:r w:rsidRPr="00BE1F6E">
        <w:rPr>
          <w:b/>
          <w:bCs/>
        </w:rPr>
        <w:t>6. Samlet redegørelse</w:t>
      </w:r>
    </w:p>
    <w:p w14:paraId="5731158F" w14:textId="77777777" w:rsidR="00BE1F6E" w:rsidRPr="00BE1F6E" w:rsidRDefault="00BE1F6E" w:rsidP="00BE1F6E">
      <w:r w:rsidRPr="00BE1F6E">
        <w:t>Tilbudsgiver bedes afslutningsvis kort redegøre for:</w:t>
      </w:r>
    </w:p>
    <w:p w14:paraId="1114ECB0" w14:textId="77777777" w:rsidR="00BE1F6E" w:rsidRPr="00BE1F6E" w:rsidRDefault="00BE1F6E" w:rsidP="00BE1F6E">
      <w:pPr>
        <w:numPr>
          <w:ilvl w:val="0"/>
          <w:numId w:val="8"/>
        </w:numPr>
      </w:pPr>
      <w:r w:rsidRPr="00BE1F6E">
        <w:t>Hvordan den beskrevne tilgang sikrer, at miljø og grøn omstilling indtænkes løbende i projektet</w:t>
      </w:r>
    </w:p>
    <w:p w14:paraId="6AC8D854" w14:textId="77777777" w:rsidR="00BE1F6E" w:rsidRPr="00BE1F6E" w:rsidRDefault="00BE1F6E" w:rsidP="00BE1F6E">
      <w:pPr>
        <w:numPr>
          <w:ilvl w:val="0"/>
          <w:numId w:val="8"/>
        </w:numPr>
      </w:pPr>
      <w:r w:rsidRPr="00BE1F6E">
        <w:t>Hvordan livscyklusovervejelser anvendes som et aktivt beslutningsgrundlag</w:t>
      </w:r>
    </w:p>
    <w:p w14:paraId="361FF7CA" w14:textId="77777777" w:rsidR="00BE1F6E" w:rsidRPr="00BE1F6E" w:rsidRDefault="00BE1F6E" w:rsidP="00BE1F6E">
      <w:pPr>
        <w:numPr>
          <w:ilvl w:val="0"/>
          <w:numId w:val="8"/>
        </w:numPr>
      </w:pPr>
      <w:r w:rsidRPr="00BE1F6E">
        <w:t>Hvorfor den beskrevne metode vurderes egnet til projektets karakter og omfang</w:t>
      </w:r>
    </w:p>
    <w:p w14:paraId="1EA78411" w14:textId="77777777" w:rsidR="00BE1F6E" w:rsidRPr="0028438A" w:rsidRDefault="00BE1F6E" w:rsidP="0028438A"/>
    <w:sectPr w:rsidR="00BE1F6E" w:rsidRPr="0028438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F5A08" w14:textId="77777777" w:rsidR="00D45164" w:rsidRDefault="00D45164" w:rsidP="00F9223E">
      <w:pPr>
        <w:spacing w:after="0" w:line="240" w:lineRule="auto"/>
      </w:pPr>
      <w:r>
        <w:separator/>
      </w:r>
    </w:p>
  </w:endnote>
  <w:endnote w:type="continuationSeparator" w:id="0">
    <w:p w14:paraId="42EE677C" w14:textId="77777777" w:rsidR="00D45164" w:rsidRDefault="00D45164" w:rsidP="00F92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3F349" w14:textId="77777777" w:rsidR="00D45164" w:rsidRDefault="00D45164" w:rsidP="00F9223E">
      <w:pPr>
        <w:spacing w:after="0" w:line="240" w:lineRule="auto"/>
      </w:pPr>
      <w:r>
        <w:separator/>
      </w:r>
    </w:p>
  </w:footnote>
  <w:footnote w:type="continuationSeparator" w:id="0">
    <w:p w14:paraId="034CAC0D" w14:textId="77777777" w:rsidR="00D45164" w:rsidRDefault="00D45164" w:rsidP="00F92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3CAE" w14:textId="40591C87" w:rsidR="00F9223E" w:rsidRDefault="00F9223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A84AEC" wp14:editId="144F1E72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2614295" cy="449580"/>
          <wp:effectExtent l="0" t="0" r="0" b="7620"/>
          <wp:wrapNone/>
          <wp:docPr id="1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9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A8C28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D0ACCDD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6A5BBB"/>
    <w:multiLevelType w:val="multilevel"/>
    <w:tmpl w:val="D00E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F233C"/>
    <w:multiLevelType w:val="multilevel"/>
    <w:tmpl w:val="F748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800B8"/>
    <w:multiLevelType w:val="multilevel"/>
    <w:tmpl w:val="96665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D2C73"/>
    <w:multiLevelType w:val="multilevel"/>
    <w:tmpl w:val="0C12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84833"/>
    <w:multiLevelType w:val="multilevel"/>
    <w:tmpl w:val="2602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73974"/>
    <w:multiLevelType w:val="multilevel"/>
    <w:tmpl w:val="AED6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047564">
    <w:abstractNumId w:val="1"/>
  </w:num>
  <w:num w:numId="2" w16cid:durableId="225993518">
    <w:abstractNumId w:val="0"/>
  </w:num>
  <w:num w:numId="3" w16cid:durableId="2032340552">
    <w:abstractNumId w:val="5"/>
  </w:num>
  <w:num w:numId="4" w16cid:durableId="207299180">
    <w:abstractNumId w:val="4"/>
  </w:num>
  <w:num w:numId="5" w16cid:durableId="1070882585">
    <w:abstractNumId w:val="6"/>
  </w:num>
  <w:num w:numId="6" w16cid:durableId="195044117">
    <w:abstractNumId w:val="2"/>
  </w:num>
  <w:num w:numId="7" w16cid:durableId="1051811148">
    <w:abstractNumId w:val="3"/>
  </w:num>
  <w:num w:numId="8" w16cid:durableId="21249905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3E"/>
    <w:rsid w:val="000A22AF"/>
    <w:rsid w:val="00235BAA"/>
    <w:rsid w:val="0028438A"/>
    <w:rsid w:val="002E12A5"/>
    <w:rsid w:val="002E1952"/>
    <w:rsid w:val="00573F02"/>
    <w:rsid w:val="00590FED"/>
    <w:rsid w:val="005A261F"/>
    <w:rsid w:val="005B4DA8"/>
    <w:rsid w:val="005C2548"/>
    <w:rsid w:val="005C2B2B"/>
    <w:rsid w:val="007523AA"/>
    <w:rsid w:val="0077730B"/>
    <w:rsid w:val="007A0DD5"/>
    <w:rsid w:val="008C4281"/>
    <w:rsid w:val="00920DBA"/>
    <w:rsid w:val="00991EBA"/>
    <w:rsid w:val="009F1AF8"/>
    <w:rsid w:val="00A461DD"/>
    <w:rsid w:val="00B0191A"/>
    <w:rsid w:val="00B35DDC"/>
    <w:rsid w:val="00BE1F6E"/>
    <w:rsid w:val="00C7556D"/>
    <w:rsid w:val="00CA195D"/>
    <w:rsid w:val="00D45164"/>
    <w:rsid w:val="00D61D4F"/>
    <w:rsid w:val="00D629A9"/>
    <w:rsid w:val="00DA24A1"/>
    <w:rsid w:val="00DA496B"/>
    <w:rsid w:val="00EB69E1"/>
    <w:rsid w:val="00F9223E"/>
    <w:rsid w:val="00FB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B333264"/>
  <w15:chartTrackingRefBased/>
  <w15:docId w15:val="{30451434-E175-4D07-841E-01C51B72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3E"/>
    <w:pPr>
      <w:spacing w:after="240" w:line="26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69E1"/>
    <w:pPr>
      <w:keepNext/>
      <w:keepLines/>
      <w:outlineLvl w:val="0"/>
    </w:pPr>
    <w:rPr>
      <w:rFonts w:ascii="Candara" w:eastAsiaTheme="majorEastAsia" w:hAnsi="Candara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438A"/>
    <w:pPr>
      <w:keepNext/>
      <w:keepLines/>
      <w:spacing w:before="360" w:after="120"/>
      <w:outlineLvl w:val="1"/>
    </w:pPr>
    <w:rPr>
      <w:rFonts w:ascii="Candara" w:eastAsiaTheme="majorEastAsia" w:hAnsi="Candar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438A"/>
    <w:pPr>
      <w:keepNext/>
      <w:keepLines/>
      <w:spacing w:before="240" w:after="40"/>
      <w:outlineLvl w:val="2"/>
    </w:pPr>
    <w:rPr>
      <w:rFonts w:ascii="Candara" w:eastAsiaTheme="majorEastAsia" w:hAnsi="Candar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629A9"/>
    <w:pPr>
      <w:keepNext/>
      <w:keepLines/>
      <w:spacing w:before="120" w:after="40"/>
      <w:outlineLvl w:val="3"/>
    </w:pPr>
    <w:rPr>
      <w:rFonts w:ascii="Candara" w:eastAsiaTheme="majorEastAsia" w:hAnsi="Candara" w:cstheme="majorBidi"/>
      <w:b/>
      <w:iCs/>
      <w:color w:val="003478"/>
      <w:sz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69E1"/>
    <w:pPr>
      <w:keepNext/>
      <w:keepLines/>
      <w:spacing w:before="120" w:after="40"/>
      <w:outlineLvl w:val="4"/>
    </w:pPr>
    <w:rPr>
      <w:rFonts w:ascii="Candara" w:eastAsiaTheme="majorEastAsia" w:hAnsi="Candara" w:cstheme="majorBidi"/>
      <w:color w:val="003478"/>
      <w:sz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22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22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22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22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91EBA"/>
    <w:pPr>
      <w:spacing w:after="0" w:line="360" w:lineRule="atLeast"/>
      <w:outlineLvl w:val="0"/>
    </w:pPr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91EBA"/>
    <w:rPr>
      <w:rFonts w:ascii="Candara" w:eastAsiaTheme="majorEastAsia" w:hAnsi="Candara" w:cstheme="majorBidi"/>
      <w:b/>
      <w:color w:val="003478"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B69E1"/>
    <w:rPr>
      <w:rFonts w:ascii="Candara" w:eastAsiaTheme="majorEastAsia" w:hAnsi="Candara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438A"/>
    <w:rPr>
      <w:rFonts w:ascii="Candara" w:eastAsiaTheme="majorEastAsia" w:hAnsi="Candara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438A"/>
    <w:rPr>
      <w:rFonts w:ascii="Candara" w:eastAsiaTheme="majorEastAsia" w:hAnsi="Candara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629A9"/>
    <w:rPr>
      <w:rFonts w:ascii="Candara" w:eastAsiaTheme="majorEastAsia" w:hAnsi="Candara" w:cstheme="majorBidi"/>
      <w:b/>
      <w:iCs/>
      <w:color w:val="003478"/>
      <w:sz w:val="28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69E1"/>
    <w:rPr>
      <w:rFonts w:ascii="Candara" w:eastAsiaTheme="majorEastAsia" w:hAnsi="Candara" w:cstheme="majorBidi"/>
      <w:color w:val="003478"/>
      <w:sz w:val="28"/>
    </w:rPr>
  </w:style>
  <w:style w:type="paragraph" w:styleId="Listeafsnit">
    <w:name w:val="List Paragraph"/>
    <w:basedOn w:val="Normal"/>
    <w:uiPriority w:val="34"/>
    <w:rsid w:val="005A261F"/>
    <w:pPr>
      <w:ind w:left="34" w:hanging="34"/>
    </w:pPr>
  </w:style>
  <w:style w:type="paragraph" w:styleId="Opstilling-punkttegn">
    <w:name w:val="List Bullet"/>
    <w:basedOn w:val="Normal"/>
    <w:uiPriority w:val="99"/>
    <w:unhideWhenUsed/>
    <w:qFormat/>
    <w:rsid w:val="00EB69E1"/>
    <w:pPr>
      <w:numPr>
        <w:numId w:val="1"/>
      </w:numPr>
    </w:pPr>
  </w:style>
  <w:style w:type="paragraph" w:styleId="Opstilling-talellerbogst">
    <w:name w:val="List Number"/>
    <w:basedOn w:val="Normal"/>
    <w:uiPriority w:val="99"/>
    <w:unhideWhenUsed/>
    <w:qFormat/>
    <w:rsid w:val="00EB69E1"/>
    <w:pPr>
      <w:numPr>
        <w:numId w:val="2"/>
      </w:numPr>
    </w:pPr>
  </w:style>
  <w:style w:type="character" w:styleId="Hyperlink">
    <w:name w:val="Hyperlink"/>
    <w:basedOn w:val="Standardskrifttypeiafsnit"/>
    <w:uiPriority w:val="99"/>
    <w:semiHidden/>
    <w:unhideWhenUsed/>
    <w:rsid w:val="00DA24A1"/>
    <w:rPr>
      <w:color w:val="003478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7730B"/>
    <w:rPr>
      <w:color w:val="003478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223E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223E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223E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223E"/>
    <w:rPr>
      <w:rFonts w:eastAsiaTheme="majorEastAsia" w:cstheme="majorBidi"/>
      <w:color w:val="272727" w:themeColor="text1" w:themeTint="D8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F922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2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F922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223E"/>
    <w:rPr>
      <w:rFonts w:ascii="Verdana" w:hAnsi="Verdana"/>
      <w:i/>
      <w:iCs/>
      <w:color w:val="404040" w:themeColor="text1" w:themeTint="BF"/>
      <w:sz w:val="20"/>
    </w:rPr>
  </w:style>
  <w:style w:type="character" w:styleId="Kraftigfremhvning">
    <w:name w:val="Intense Emphasis"/>
    <w:basedOn w:val="Standardskrifttypeiafsnit"/>
    <w:uiPriority w:val="21"/>
    <w:rsid w:val="00F9223E"/>
    <w:rPr>
      <w:i/>
      <w:iCs/>
      <w:color w:val="00265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F9223E"/>
    <w:pPr>
      <w:pBdr>
        <w:top w:val="single" w:sz="4" w:space="10" w:color="002659" w:themeColor="accent1" w:themeShade="BF"/>
        <w:bottom w:val="single" w:sz="4" w:space="10" w:color="002659" w:themeColor="accent1" w:themeShade="BF"/>
      </w:pBdr>
      <w:spacing w:before="360" w:after="360"/>
      <w:ind w:left="864" w:right="864"/>
      <w:jc w:val="center"/>
    </w:pPr>
    <w:rPr>
      <w:i/>
      <w:iCs/>
      <w:color w:val="002659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223E"/>
    <w:rPr>
      <w:rFonts w:ascii="Verdana" w:hAnsi="Verdana"/>
      <w:i/>
      <w:iCs/>
      <w:color w:val="002659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F9223E"/>
    <w:rPr>
      <w:b/>
      <w:bCs/>
      <w:smallCaps/>
      <w:color w:val="002659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F9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223E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92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223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olland Kommune farvetema">
  <a:themeElements>
    <a:clrScheme name="Test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Lolland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2708</Characters>
  <Application>Microsoft Office Word</Application>
  <DocSecurity>0</DocSecurity>
  <Lines>64</Lines>
  <Paragraphs>44</Paragraphs>
  <ScaleCrop>false</ScaleCrop>
  <Company>Lolland Kommune - Default Office365 Client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Desrumaux Brodersen</dc:creator>
  <cp:keywords/>
  <dc:description/>
  <cp:lastModifiedBy>Marian Desrumaux Brodersen</cp:lastModifiedBy>
  <cp:revision>2</cp:revision>
  <dcterms:created xsi:type="dcterms:W3CDTF">2025-12-17T09:28:00Z</dcterms:created>
  <dcterms:modified xsi:type="dcterms:W3CDTF">2025-12-17T09:28:00Z</dcterms:modified>
</cp:coreProperties>
</file>